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CBC7AA" w14:textId="77777777" w:rsidR="0015459D" w:rsidRDefault="00000000">
      <w:pPr>
        <w:jc w:val="center"/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Supplementary Information</w:t>
      </w:r>
    </w:p>
    <w:p w14:paraId="6DB7A9D5" w14:textId="77777777" w:rsidR="0015459D" w:rsidRDefault="0015459D">
      <w:pPr>
        <w:jc w:val="center"/>
        <w:rPr>
          <w:rFonts w:ascii="Times New Roman" w:hAnsi="Times New Roman" w:cs="Times New Roman"/>
          <w:b/>
          <w:bCs/>
          <w:szCs w:val="21"/>
        </w:rPr>
      </w:pPr>
    </w:p>
    <w:p w14:paraId="39FB51DB" w14:textId="77777777" w:rsidR="0015459D" w:rsidRDefault="00000000">
      <w:pPr>
        <w:rPr>
          <w:rFonts w:ascii="Times New Roman" w:hAnsi="Times New Roman" w:cs="Times New Roman"/>
          <w:b/>
          <w:bCs/>
          <w:szCs w:val="21"/>
        </w:rPr>
      </w:pPr>
      <w:r>
        <w:rPr>
          <w:rFonts w:ascii="Times New Roman" w:hAnsi="Times New Roman" w:cs="Times New Roman" w:hint="eastAsia"/>
          <w:b/>
          <w:bCs/>
          <w:szCs w:val="21"/>
        </w:rPr>
        <w:t>Single-cell analysis reveals tip endothelial cells as a driver of immunosuppression and potential therapeutic target in glioblastoma</w:t>
      </w:r>
    </w:p>
    <w:p w14:paraId="79801399" w14:textId="77777777" w:rsidR="0015459D" w:rsidRDefault="00000000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Hengxin</w:t>
      </w:r>
      <w:r>
        <w:rPr>
          <w:rFonts w:ascii="Times New Roman" w:hAnsi="Times New Roman" w:cs="Times New Roman" w:hint="eastAsia"/>
          <w:szCs w:val="21"/>
        </w:rPr>
        <w:t>g</w:t>
      </w:r>
      <w:r>
        <w:rPr>
          <w:rFonts w:ascii="Times New Roman" w:hAnsi="Times New Roman" w:cs="Times New Roman"/>
          <w:szCs w:val="21"/>
        </w:rPr>
        <w:t xml:space="preserve"> Su [1#], Aynur Abdulla [2,3#], Xuhui Wang [1#], </w:t>
      </w:r>
      <w:proofErr w:type="spellStart"/>
      <w:r>
        <w:rPr>
          <w:rFonts w:ascii="Times New Roman" w:hAnsi="Times New Roman" w:cs="Times New Roman"/>
          <w:szCs w:val="21"/>
        </w:rPr>
        <w:t>Shiting</w:t>
      </w:r>
      <w:proofErr w:type="spellEnd"/>
      <w:r>
        <w:rPr>
          <w:rFonts w:ascii="Times New Roman" w:hAnsi="Times New Roman" w:cs="Times New Roman"/>
          <w:szCs w:val="21"/>
        </w:rPr>
        <w:t xml:space="preserve"> Li [1#], </w:t>
      </w:r>
      <w:proofErr w:type="spellStart"/>
      <w:r>
        <w:rPr>
          <w:rFonts w:ascii="Times New Roman" w:hAnsi="Times New Roman" w:cs="Times New Roman"/>
          <w:szCs w:val="21"/>
        </w:rPr>
        <w:t>Qingwen</w:t>
      </w:r>
      <w:proofErr w:type="spellEnd"/>
      <w:r>
        <w:rPr>
          <w:rFonts w:ascii="Times New Roman" w:hAnsi="Times New Roman" w:cs="Times New Roman"/>
          <w:szCs w:val="21"/>
        </w:rPr>
        <w:t xml:space="preserve"> Wang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[2,3], </w:t>
      </w:r>
      <w:proofErr w:type="spellStart"/>
      <w:r>
        <w:rPr>
          <w:rFonts w:ascii="Times New Roman" w:hAnsi="Times New Roman" w:cs="Times New Roman"/>
          <w:szCs w:val="21"/>
        </w:rPr>
        <w:t>Haoni</w:t>
      </w:r>
      <w:proofErr w:type="spellEnd"/>
      <w:r>
        <w:rPr>
          <w:rFonts w:ascii="Times New Roman" w:hAnsi="Times New Roman" w:cs="Times New Roman"/>
          <w:szCs w:val="21"/>
        </w:rPr>
        <w:t xml:space="preserve"> Yan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[2], Qiang Xue [4], Yan Sun</w:t>
      </w: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[1], Jun Zhong [1], Hua He [4*], </w:t>
      </w:r>
      <w:proofErr w:type="spellStart"/>
      <w:r>
        <w:rPr>
          <w:rFonts w:ascii="Times New Roman" w:hAnsi="Times New Roman" w:cs="Times New Roman"/>
          <w:szCs w:val="21"/>
        </w:rPr>
        <w:t>Xianting</w:t>
      </w:r>
      <w:proofErr w:type="spellEnd"/>
      <w:r>
        <w:rPr>
          <w:rFonts w:ascii="Times New Roman" w:hAnsi="Times New Roman" w:cs="Times New Roman"/>
          <w:szCs w:val="21"/>
        </w:rPr>
        <w:t xml:space="preserve"> Ding [</w:t>
      </w:r>
      <w:r>
        <w:rPr>
          <w:rFonts w:ascii="Times New Roman" w:hAnsi="Times New Roman" w:cs="Times New Roman" w:hint="eastAsia"/>
          <w:szCs w:val="21"/>
        </w:rPr>
        <w:t>2,</w:t>
      </w:r>
      <w:r>
        <w:rPr>
          <w:rFonts w:ascii="Times New Roman" w:hAnsi="Times New Roman" w:cs="Times New Roman"/>
          <w:szCs w:val="21"/>
        </w:rPr>
        <w:t xml:space="preserve">3*], </w:t>
      </w:r>
      <w:proofErr w:type="spellStart"/>
      <w:r>
        <w:rPr>
          <w:rFonts w:ascii="Times New Roman" w:hAnsi="Times New Roman" w:cs="Times New Roman"/>
          <w:szCs w:val="21"/>
        </w:rPr>
        <w:t>Bangbao</w:t>
      </w:r>
      <w:proofErr w:type="spellEnd"/>
      <w:r>
        <w:rPr>
          <w:rFonts w:ascii="Times New Roman" w:hAnsi="Times New Roman" w:cs="Times New Roman"/>
          <w:szCs w:val="21"/>
        </w:rPr>
        <w:t xml:space="preserve"> Tao [1*]</w:t>
      </w:r>
    </w:p>
    <w:p w14:paraId="417CDB01" w14:textId="382A5D58" w:rsidR="0015459D" w:rsidRDefault="00000000">
      <w:pPr>
        <w:pStyle w:val="A8"/>
        <w:widowControl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r>
        <w:rPr>
          <w:rFonts w:ascii="Times New Roman" w:hAnsi="Times New Roman" w:cs="Times New Roman"/>
        </w:rPr>
        <w:t>1.</w:t>
      </w:r>
      <w:r>
        <w:rPr>
          <w:rFonts w:ascii="Times New Roman" w:eastAsiaTheme="minorEastAsia" w:hAnsi="Times New Roman" w:cs="Times New Roman"/>
          <w:color w:val="auto"/>
          <w:kern w:val="0"/>
        </w:rPr>
        <w:t>Department of Neurosurgery, Xinhua Hospital, Shanghai Jiao</w:t>
      </w:r>
      <w:r w:rsidR="003D6778">
        <w:rPr>
          <w:rFonts w:ascii="Times New Roman" w:eastAsiaTheme="minorEastAsia" w:hAnsi="Times New Roman" w:cs="Times New Roman" w:hint="eastAsia"/>
          <w:color w:val="auto"/>
          <w:kern w:val="0"/>
        </w:rPr>
        <w:t xml:space="preserve"> T</w:t>
      </w:r>
      <w:r>
        <w:rPr>
          <w:rFonts w:ascii="Times New Roman" w:eastAsiaTheme="minorEastAsia" w:hAnsi="Times New Roman" w:cs="Times New Roman"/>
          <w:color w:val="auto"/>
          <w:kern w:val="0"/>
        </w:rPr>
        <w:t xml:space="preserve">ong University, School of Medicine, No 1665 </w:t>
      </w:r>
      <w:proofErr w:type="spellStart"/>
      <w:r>
        <w:rPr>
          <w:rFonts w:ascii="Times New Roman" w:eastAsiaTheme="minorEastAsia" w:hAnsi="Times New Roman" w:cs="Times New Roman"/>
          <w:color w:val="auto"/>
          <w:kern w:val="0"/>
        </w:rPr>
        <w:t>Kongjiang</w:t>
      </w:r>
      <w:proofErr w:type="spellEnd"/>
      <w:r>
        <w:rPr>
          <w:rFonts w:ascii="Times New Roman" w:eastAsiaTheme="minorEastAsia" w:hAnsi="Times New Roman" w:cs="Times New Roman"/>
          <w:color w:val="auto"/>
          <w:kern w:val="0"/>
        </w:rPr>
        <w:t xml:space="preserve"> Road, Shanghai 200092, China</w:t>
      </w:r>
    </w:p>
    <w:p w14:paraId="6DEA8A1B" w14:textId="77777777" w:rsidR="0015459D" w:rsidRDefault="00000000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2.Department of Anesthesiology and Surgical Intensive Care Unit, Xinhua Hospital, School of Medicine and School of Biomedical Engineering, Shanghai Jiao Tong University, Shanghai 200030, People’s Republic of China </w:t>
      </w:r>
    </w:p>
    <w:p w14:paraId="59C1185B" w14:textId="77777777" w:rsidR="0015459D" w:rsidRDefault="00000000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3.State Key Laboratory of Oncogenes and Related Genes, Institute for Personalized Medicine, Shanghai Jiao Tong University, Shanghai 200030, People’s Republic of China</w:t>
      </w:r>
    </w:p>
    <w:p w14:paraId="5FD04049" w14:textId="77777777" w:rsidR="0015459D" w:rsidRDefault="00000000">
      <w:pPr>
        <w:pStyle w:val="A8"/>
        <w:widowControl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r>
        <w:rPr>
          <w:rFonts w:ascii="Times New Roman" w:hAnsi="Times New Roman" w:cs="Times New Roman"/>
        </w:rPr>
        <w:t>4.</w:t>
      </w:r>
      <w:r>
        <w:rPr>
          <w:rFonts w:ascii="Times New Roman" w:eastAsiaTheme="minorEastAsia" w:hAnsi="Times New Roman" w:cs="Times New Roman"/>
          <w:color w:val="auto"/>
          <w:kern w:val="0"/>
        </w:rPr>
        <w:t>Department of Neurosurgery, The Third Affiliated Hospital of Naval Medical University, No</w:t>
      </w:r>
      <w:r>
        <w:rPr>
          <w:rFonts w:ascii="Times New Roman" w:eastAsiaTheme="minorEastAsia" w:hAnsi="Times New Roman" w:cs="Times New Roman" w:hint="eastAsia"/>
          <w:color w:val="auto"/>
          <w:kern w:val="0"/>
        </w:rPr>
        <w:t xml:space="preserve"> </w:t>
      </w:r>
      <w:r>
        <w:rPr>
          <w:rFonts w:ascii="Times New Roman" w:eastAsiaTheme="minorEastAsia" w:hAnsi="Times New Roman" w:cs="Times New Roman"/>
          <w:color w:val="auto"/>
          <w:kern w:val="0"/>
        </w:rPr>
        <w:t xml:space="preserve">225 </w:t>
      </w:r>
      <w:proofErr w:type="spellStart"/>
      <w:r>
        <w:rPr>
          <w:rFonts w:ascii="Times New Roman" w:eastAsiaTheme="minorEastAsia" w:hAnsi="Times New Roman" w:cs="Times New Roman"/>
          <w:color w:val="auto"/>
          <w:kern w:val="0"/>
        </w:rPr>
        <w:t>Changhai</w:t>
      </w:r>
      <w:proofErr w:type="spellEnd"/>
      <w:r>
        <w:rPr>
          <w:rFonts w:ascii="Times New Roman" w:eastAsiaTheme="minorEastAsia" w:hAnsi="Times New Roman" w:cs="Times New Roman"/>
          <w:color w:val="auto"/>
          <w:kern w:val="0"/>
        </w:rPr>
        <w:t xml:space="preserve"> Road, Shanghai, 200433, China </w:t>
      </w:r>
    </w:p>
    <w:p w14:paraId="533F1991" w14:textId="77777777" w:rsidR="0015459D" w:rsidRDefault="0015459D">
      <w:pPr>
        <w:pStyle w:val="A8"/>
        <w:widowControl/>
        <w:snapToGrid w:val="0"/>
        <w:spacing w:line="360" w:lineRule="auto"/>
        <w:jc w:val="left"/>
        <w:rPr>
          <w:rFonts w:ascii="Times New Roman" w:eastAsiaTheme="minorEastAsia" w:hAnsi="Times New Roman" w:cs="Times New Roman"/>
          <w:color w:val="auto"/>
          <w:kern w:val="0"/>
        </w:rPr>
      </w:pPr>
    </w:p>
    <w:p w14:paraId="36C4C2D7" w14:textId="77777777" w:rsidR="0015459D" w:rsidRDefault="00000000">
      <w:pPr>
        <w:pStyle w:val="A8"/>
        <w:widowControl/>
        <w:snapToGrid w:val="0"/>
        <w:spacing w:line="360" w:lineRule="auto"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r>
        <w:rPr>
          <w:rFonts w:ascii="Times New Roman" w:eastAsiaTheme="minorEastAsia" w:hAnsi="Times New Roman" w:cs="Times New Roman"/>
          <w:color w:val="auto"/>
          <w:kern w:val="0"/>
        </w:rPr>
        <w:t># These authors contributed equally to the work.</w:t>
      </w:r>
    </w:p>
    <w:p w14:paraId="357392EA" w14:textId="77777777" w:rsidR="0015459D" w:rsidRDefault="00000000">
      <w:pPr>
        <w:pStyle w:val="A8"/>
        <w:widowControl/>
        <w:snapToGrid w:val="0"/>
        <w:spacing w:line="360" w:lineRule="auto"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r>
        <w:rPr>
          <w:rFonts w:ascii="Times New Roman" w:eastAsiaTheme="minorEastAsia" w:hAnsi="Times New Roman" w:cs="Times New Roman"/>
          <w:color w:val="auto"/>
          <w:kern w:val="0"/>
        </w:rPr>
        <w:t xml:space="preserve">*Corresponding authors: </w:t>
      </w:r>
    </w:p>
    <w:p w14:paraId="2DD7E88F" w14:textId="77777777" w:rsidR="0015459D" w:rsidRDefault="00000000">
      <w:pPr>
        <w:pStyle w:val="A8"/>
        <w:widowControl/>
        <w:snapToGrid w:val="0"/>
        <w:spacing w:line="360" w:lineRule="auto"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r>
        <w:rPr>
          <w:rFonts w:ascii="Times New Roman" w:eastAsiaTheme="minorEastAsia" w:hAnsi="Times New Roman" w:cs="Times New Roman"/>
          <w:color w:val="auto"/>
          <w:kern w:val="0"/>
        </w:rPr>
        <w:t>Hua He</w:t>
      </w:r>
      <w:r>
        <w:rPr>
          <w:rFonts w:ascii="Times New Roman" w:eastAsiaTheme="minorEastAsia" w:hAnsi="Times New Roman" w:cs="Times New Roman" w:hint="eastAsia"/>
          <w:color w:val="auto"/>
          <w:kern w:val="0"/>
        </w:rPr>
        <w:t xml:space="preserve">: </w:t>
      </w:r>
      <w:r>
        <w:rPr>
          <w:rFonts w:ascii="Times New Roman" w:eastAsiaTheme="minorEastAsia" w:hAnsi="Times New Roman" w:cs="Times New Roman"/>
          <w:color w:val="auto"/>
          <w:kern w:val="0"/>
        </w:rPr>
        <w:t>hehua1624@smmu.edu.cn</w:t>
      </w:r>
    </w:p>
    <w:p w14:paraId="4F018FB6" w14:textId="77777777" w:rsidR="0015459D" w:rsidRDefault="00000000">
      <w:pPr>
        <w:pStyle w:val="A8"/>
        <w:widowControl/>
        <w:snapToGrid w:val="0"/>
        <w:spacing w:line="360" w:lineRule="auto"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proofErr w:type="spellStart"/>
      <w:r>
        <w:rPr>
          <w:rFonts w:ascii="Times New Roman" w:eastAsiaTheme="minorEastAsia" w:hAnsi="Times New Roman" w:cs="Times New Roman"/>
          <w:color w:val="auto"/>
          <w:kern w:val="0"/>
        </w:rPr>
        <w:t>Xianting</w:t>
      </w:r>
      <w:proofErr w:type="spellEnd"/>
      <w:r>
        <w:rPr>
          <w:rFonts w:ascii="Times New Roman" w:eastAsiaTheme="minorEastAsia" w:hAnsi="Times New Roman" w:cs="Times New Roman"/>
          <w:color w:val="auto"/>
          <w:kern w:val="0"/>
        </w:rPr>
        <w:t xml:space="preserve"> Ding</w:t>
      </w:r>
      <w:r>
        <w:rPr>
          <w:rFonts w:ascii="Times New Roman" w:eastAsiaTheme="minorEastAsia" w:hAnsi="Times New Roman" w:cs="Times New Roman" w:hint="eastAsia"/>
          <w:color w:val="auto"/>
          <w:kern w:val="0"/>
        </w:rPr>
        <w:t xml:space="preserve">: </w:t>
      </w:r>
      <w:r>
        <w:rPr>
          <w:rFonts w:ascii="Times New Roman" w:eastAsiaTheme="minorEastAsia" w:hAnsi="Times New Roman" w:cs="Times New Roman"/>
          <w:color w:val="auto"/>
          <w:kern w:val="0"/>
        </w:rPr>
        <w:t>dingxianting@sjtu.edu.cn</w:t>
      </w:r>
    </w:p>
    <w:p w14:paraId="09F32A30" w14:textId="77777777" w:rsidR="0015459D" w:rsidRDefault="00000000">
      <w:pPr>
        <w:pStyle w:val="A8"/>
        <w:widowControl/>
        <w:snapToGrid w:val="0"/>
        <w:spacing w:line="360" w:lineRule="auto"/>
        <w:jc w:val="left"/>
        <w:rPr>
          <w:rFonts w:ascii="Times New Roman" w:eastAsiaTheme="minorEastAsia" w:hAnsi="Times New Roman" w:cs="Times New Roman"/>
          <w:color w:val="auto"/>
          <w:kern w:val="0"/>
        </w:rPr>
      </w:pPr>
      <w:proofErr w:type="spellStart"/>
      <w:r>
        <w:rPr>
          <w:rFonts w:ascii="Times New Roman" w:eastAsiaTheme="minorEastAsia" w:hAnsi="Times New Roman" w:cs="Times New Roman"/>
          <w:color w:val="auto"/>
          <w:kern w:val="0"/>
        </w:rPr>
        <w:t>Bangbao</w:t>
      </w:r>
      <w:proofErr w:type="spellEnd"/>
      <w:r>
        <w:rPr>
          <w:rFonts w:ascii="Times New Roman" w:eastAsiaTheme="minorEastAsia" w:hAnsi="Times New Roman" w:cs="Times New Roman"/>
          <w:color w:val="auto"/>
          <w:kern w:val="0"/>
        </w:rPr>
        <w:t xml:space="preserve"> Tao: </w:t>
      </w:r>
      <w:hyperlink r:id="rId6" w:history="1">
        <w:r>
          <w:rPr>
            <w:rStyle w:val="a7"/>
            <w:rFonts w:ascii="Times New Roman" w:eastAsiaTheme="minorEastAsia" w:hAnsi="Times New Roman" w:cs="Times New Roman"/>
            <w:kern w:val="0"/>
          </w:rPr>
          <w:t>taobangbao@xinhuamed.com.cn</w:t>
        </w:r>
      </w:hyperlink>
    </w:p>
    <w:p w14:paraId="50A62A96" w14:textId="77777777" w:rsidR="0015459D" w:rsidRDefault="0015459D">
      <w:pPr>
        <w:rPr>
          <w:rFonts w:ascii="Times New Roman" w:hAnsi="Times New Roman" w:cs="Times New Roman"/>
        </w:rPr>
      </w:pPr>
    </w:p>
    <w:p w14:paraId="11BC8A59" w14:textId="77777777" w:rsidR="0015459D" w:rsidRDefault="0015459D">
      <w:pPr>
        <w:rPr>
          <w:rFonts w:ascii="Times New Roman" w:hAnsi="Times New Roman" w:cs="Times New Roman"/>
        </w:rPr>
      </w:pPr>
    </w:p>
    <w:p w14:paraId="0914213F" w14:textId="77777777" w:rsidR="0015459D" w:rsidRDefault="0015459D">
      <w:pPr>
        <w:rPr>
          <w:rFonts w:ascii="Times New Roman" w:hAnsi="Times New Roman" w:cs="Times New Roman"/>
        </w:rPr>
      </w:pPr>
    </w:p>
    <w:p w14:paraId="644C281B" w14:textId="77777777" w:rsidR="0015459D" w:rsidRDefault="0015459D">
      <w:pPr>
        <w:rPr>
          <w:rFonts w:ascii="Times New Roman" w:hAnsi="Times New Roman" w:cs="Times New Roman"/>
        </w:rPr>
      </w:pPr>
    </w:p>
    <w:p w14:paraId="58AB72D1" w14:textId="77777777" w:rsidR="0015459D" w:rsidRDefault="0015459D">
      <w:pPr>
        <w:rPr>
          <w:rFonts w:ascii="Times New Roman" w:hAnsi="Times New Roman" w:cs="Times New Roman"/>
        </w:rPr>
      </w:pPr>
    </w:p>
    <w:p w14:paraId="4460A20E" w14:textId="77777777" w:rsidR="0015459D" w:rsidRDefault="0015459D">
      <w:pPr>
        <w:rPr>
          <w:rFonts w:ascii="Times New Roman" w:hAnsi="Times New Roman" w:cs="Times New Roman"/>
        </w:rPr>
      </w:pPr>
    </w:p>
    <w:p w14:paraId="4A35BCAA" w14:textId="77777777" w:rsidR="0015459D" w:rsidRDefault="0015459D">
      <w:pPr>
        <w:rPr>
          <w:rFonts w:ascii="Times New Roman" w:hAnsi="Times New Roman" w:cs="Times New Roman"/>
        </w:rPr>
      </w:pPr>
    </w:p>
    <w:p w14:paraId="0A93ADD6" w14:textId="77777777" w:rsidR="0015459D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114300" distR="114300" wp14:anchorId="13BC6C7B" wp14:editId="3E9A58FD">
            <wp:extent cx="5271135" cy="5062220"/>
            <wp:effectExtent l="0" t="0" r="7620" b="635"/>
            <wp:docPr id="13" name="图片 13" descr="补充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补充图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9AE" w14:textId="77777777" w:rsidR="0015459D" w:rsidRDefault="0015459D"/>
    <w:p w14:paraId="08FA683B" w14:textId="77777777" w:rsidR="0015459D" w:rsidRDefault="00000000">
      <w:pPr>
        <w:jc w:val="lef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t>Fig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1.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ECs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and glioma cell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>, macrophage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>, and oligodendrocyte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cell-cell interactions.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A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UMAP plot of single-cell sequencing data cluster classification.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B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Donut chart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number of each identified cell type.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C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-</w:t>
      </w:r>
      <w:r>
        <w:rPr>
          <w:rFonts w:ascii="Times New Roman" w:hAnsi="Times New Roman" w:cs="Times New Roman"/>
          <w:b/>
          <w:bCs/>
          <w:sz w:val="18"/>
          <w:szCs w:val="18"/>
        </w:rPr>
        <w:t>G</w:t>
      </w:r>
      <w:r>
        <w:rPr>
          <w:rFonts w:ascii="Times New Roman" w:hAnsi="Times New Roman" w:cs="Times New Roman" w:hint="eastAsia"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Circle charts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interaction relationships of CALCR </w:t>
      </w:r>
      <w:r>
        <w:rPr>
          <w:rFonts w:ascii="Times New Roman" w:hAnsi="Times New Roman" w:cs="Times New Roman"/>
          <w:b/>
          <w:bCs/>
          <w:sz w:val="18"/>
          <w:szCs w:val="18"/>
        </w:rPr>
        <w:t>(C)</w:t>
      </w:r>
      <w:r>
        <w:rPr>
          <w:rFonts w:ascii="Times New Roman" w:hAnsi="Times New Roman" w:cs="Times New Roman"/>
          <w:sz w:val="18"/>
          <w:szCs w:val="18"/>
        </w:rPr>
        <w:t xml:space="preserve">, EDN </w:t>
      </w:r>
      <w:r>
        <w:rPr>
          <w:rFonts w:ascii="Times New Roman" w:hAnsi="Times New Roman" w:cs="Times New Roman"/>
          <w:b/>
          <w:bCs/>
          <w:sz w:val="18"/>
          <w:szCs w:val="18"/>
        </w:rPr>
        <w:t>(D)</w:t>
      </w:r>
      <w:r>
        <w:rPr>
          <w:rFonts w:ascii="Times New Roman" w:hAnsi="Times New Roman" w:cs="Times New Roman"/>
          <w:sz w:val="18"/>
          <w:szCs w:val="18"/>
        </w:rPr>
        <w:t xml:space="preserve">, OX40 </w:t>
      </w:r>
      <w:r>
        <w:rPr>
          <w:rFonts w:ascii="Times New Roman" w:hAnsi="Times New Roman" w:cs="Times New Roman"/>
          <w:b/>
          <w:bCs/>
          <w:sz w:val="18"/>
          <w:szCs w:val="18"/>
        </w:rPr>
        <w:t>(E)</w:t>
      </w:r>
      <w:r>
        <w:rPr>
          <w:rFonts w:ascii="Times New Roman" w:hAnsi="Times New Roman" w:cs="Times New Roman"/>
          <w:sz w:val="18"/>
          <w:szCs w:val="18"/>
        </w:rPr>
        <w:t>, PROS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(F)</w:t>
      </w:r>
      <w:r>
        <w:rPr>
          <w:rFonts w:ascii="Times New Roman" w:hAnsi="Times New Roman" w:cs="Times New Roman"/>
          <w:sz w:val="18"/>
          <w:szCs w:val="18"/>
        </w:rPr>
        <w:t>, and SEMA3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(G)</w:t>
      </w:r>
      <w:r>
        <w:rPr>
          <w:rFonts w:ascii="Times New Roman" w:hAnsi="Times New Roman" w:cs="Times New Roman"/>
          <w:sz w:val="18"/>
          <w:szCs w:val="18"/>
        </w:rPr>
        <w:t xml:space="preserve"> signaling pathways between different cell types.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H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-</w:t>
      </w:r>
      <w:r>
        <w:rPr>
          <w:rFonts w:ascii="Times New Roman" w:hAnsi="Times New Roman" w:cs="Times New Roman"/>
          <w:b/>
          <w:bCs/>
          <w:sz w:val="18"/>
          <w:szCs w:val="18"/>
        </w:rPr>
        <w:t>I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Ligand-receptor pairs with significant contributions in the VEGF signaling pathway.</w:t>
      </w:r>
    </w:p>
    <w:p w14:paraId="097D681E" w14:textId="77777777" w:rsidR="0015459D" w:rsidRDefault="00000000">
      <w:pPr>
        <w:jc w:val="left"/>
        <w:rPr>
          <w:sz w:val="18"/>
          <w:szCs w:val="18"/>
        </w:rPr>
      </w:pPr>
      <w:r>
        <w:rPr>
          <w:rFonts w:hint="eastAsia"/>
          <w:noProof/>
        </w:rPr>
        <w:lastRenderedPageBreak/>
        <w:drawing>
          <wp:inline distT="0" distB="0" distL="114300" distR="114300" wp14:anchorId="4254C57D" wp14:editId="4929359C">
            <wp:extent cx="5271135" cy="2623820"/>
            <wp:effectExtent l="0" t="0" r="7620" b="10160"/>
            <wp:docPr id="14" name="图片 14" descr="补充图2_画板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补充图2_画板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01B8" w14:textId="77777777" w:rsidR="0015459D" w:rsidRDefault="0015459D">
      <w:pPr>
        <w:jc w:val="left"/>
      </w:pPr>
    </w:p>
    <w:p w14:paraId="201EB9E0" w14:textId="77777777" w:rsidR="0015459D" w:rsidRDefault="00000000">
      <w:pPr>
        <w:jc w:val="lef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t>Fig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2. Tip endothelial cell Marker Expression and Proportion of the three endothelial cell subtypes.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A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Heat map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expression of tip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 xml:space="preserve"> markers in different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 xml:space="preserve"> clusters.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B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Proportion of the three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 xml:space="preserve"> subtypes in each GBM sample.</w:t>
      </w:r>
    </w:p>
    <w:p w14:paraId="55CD8B88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496ED359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3BAEC93C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3B6ADCB6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0DA20AC3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1C8389BF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7D4832FC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55D8DC24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7B822ECF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4C4AC451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6B5A40D9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0076B47B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64F678AC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5E803BD8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7884BF35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17A84A1E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2E303019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09B208B3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0E0477CC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5C748C7F" w14:textId="77777777" w:rsidR="0015459D" w:rsidRDefault="0015459D">
      <w:pPr>
        <w:jc w:val="left"/>
        <w:rPr>
          <w:rFonts w:ascii="Times New Roman" w:hAnsi="Times New Roman" w:cs="Times New Roman"/>
          <w:sz w:val="18"/>
          <w:szCs w:val="18"/>
        </w:rPr>
      </w:pPr>
    </w:p>
    <w:p w14:paraId="7E3ED799" w14:textId="77777777" w:rsidR="0015459D" w:rsidRDefault="0015459D">
      <w:pPr>
        <w:jc w:val="left"/>
      </w:pPr>
    </w:p>
    <w:p w14:paraId="4BE20543" w14:textId="77777777" w:rsidR="0015459D" w:rsidRDefault="00000000">
      <w:pPr>
        <w:jc w:val="left"/>
      </w:pPr>
      <w:r>
        <w:rPr>
          <w:rFonts w:hint="eastAsia"/>
          <w:noProof/>
        </w:rPr>
        <w:lastRenderedPageBreak/>
        <w:drawing>
          <wp:inline distT="0" distB="0" distL="114300" distR="114300" wp14:anchorId="4CFA7C69" wp14:editId="4083A0B6">
            <wp:extent cx="5271135" cy="3129280"/>
            <wp:effectExtent l="0" t="0" r="7620" b="1270"/>
            <wp:docPr id="15" name="图片 15" descr="补充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补充图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EC5" w14:textId="77777777" w:rsidR="0015459D" w:rsidRDefault="00000000">
      <w:pPr>
        <w:jc w:val="lef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t>Fig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>3. Ligand-receptor Pair Expression in Endothelial versus Macrophage Subtypes.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A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-</w:t>
      </w:r>
      <w:r>
        <w:rPr>
          <w:rFonts w:ascii="Times New Roman" w:hAnsi="Times New Roman" w:cs="Times New Roman"/>
          <w:b/>
          <w:bCs/>
          <w:sz w:val="18"/>
          <w:szCs w:val="18"/>
        </w:rPr>
        <w:t>D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Violin plots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differential expression of genes in the ANGPT</w:t>
      </w:r>
      <w:r>
        <w:rPr>
          <w:rFonts w:ascii="Times New Roman" w:hAnsi="Times New Roman" w:cs="Times New Roman"/>
          <w:b/>
          <w:bCs/>
          <w:sz w:val="18"/>
          <w:szCs w:val="18"/>
        </w:rPr>
        <w:t>(A)</w:t>
      </w:r>
      <w:r>
        <w:rPr>
          <w:rFonts w:ascii="Times New Roman" w:hAnsi="Times New Roman" w:cs="Times New Roman"/>
          <w:sz w:val="18"/>
          <w:szCs w:val="18"/>
        </w:rPr>
        <w:t>, GDF</w:t>
      </w:r>
      <w:r>
        <w:rPr>
          <w:rFonts w:ascii="Times New Roman" w:hAnsi="Times New Roman" w:cs="Times New Roman"/>
          <w:b/>
          <w:bCs/>
          <w:sz w:val="18"/>
          <w:szCs w:val="18"/>
        </w:rPr>
        <w:t>(B)</w:t>
      </w:r>
      <w:r>
        <w:rPr>
          <w:rFonts w:ascii="Times New Roman" w:hAnsi="Times New Roman" w:cs="Times New Roman"/>
          <w:sz w:val="18"/>
          <w:szCs w:val="18"/>
        </w:rPr>
        <w:t>, VEGF</w:t>
      </w:r>
      <w:r>
        <w:rPr>
          <w:rFonts w:ascii="Times New Roman" w:hAnsi="Times New Roman" w:cs="Times New Roman"/>
          <w:b/>
          <w:bCs/>
          <w:sz w:val="18"/>
          <w:szCs w:val="18"/>
        </w:rPr>
        <w:t>(C)</w:t>
      </w:r>
      <w:r>
        <w:rPr>
          <w:rFonts w:ascii="Times New Roman" w:hAnsi="Times New Roman" w:cs="Times New Roman"/>
          <w:sz w:val="18"/>
          <w:szCs w:val="18"/>
        </w:rPr>
        <w:t xml:space="preserve">, </w:t>
      </w:r>
      <w:proofErr w:type="spellStart"/>
      <w:r>
        <w:rPr>
          <w:rFonts w:ascii="Times New Roman" w:hAnsi="Times New Roman" w:cs="Times New Roman"/>
          <w:sz w:val="18"/>
          <w:szCs w:val="18"/>
        </w:rPr>
        <w:t>ncWNT</w:t>
      </w:r>
      <w:proofErr w:type="spellEnd"/>
      <w:r>
        <w:rPr>
          <w:rFonts w:ascii="Times New Roman" w:hAnsi="Times New Roman" w:cs="Times New Roman"/>
          <w:b/>
          <w:bCs/>
          <w:sz w:val="18"/>
          <w:szCs w:val="18"/>
        </w:rPr>
        <w:t>(D)</w:t>
      </w:r>
      <w:r>
        <w:rPr>
          <w:rFonts w:ascii="Times New Roman" w:hAnsi="Times New Roman" w:cs="Times New Roman"/>
          <w:sz w:val="18"/>
          <w:szCs w:val="18"/>
        </w:rPr>
        <w:t xml:space="preserve"> signaling pathways in endothelial and macrophage subtypes.</w:t>
      </w:r>
    </w:p>
    <w:p w14:paraId="06D366D5" w14:textId="77777777" w:rsidR="0015459D" w:rsidRDefault="0015459D">
      <w:pPr>
        <w:jc w:val="left"/>
        <w:rPr>
          <w:sz w:val="18"/>
          <w:szCs w:val="18"/>
        </w:rPr>
      </w:pPr>
    </w:p>
    <w:p w14:paraId="771CB5FE" w14:textId="77777777" w:rsidR="0015459D" w:rsidRDefault="00000000">
      <w:pPr>
        <w:jc w:val="left"/>
      </w:pPr>
      <w:r>
        <w:rPr>
          <w:rFonts w:hint="eastAsia"/>
          <w:noProof/>
        </w:rPr>
        <w:lastRenderedPageBreak/>
        <w:drawing>
          <wp:inline distT="0" distB="0" distL="114300" distR="114300" wp14:anchorId="14B9346C" wp14:editId="201CBF98">
            <wp:extent cx="5271135" cy="7454900"/>
            <wp:effectExtent l="0" t="0" r="7620" b="4445"/>
            <wp:docPr id="16" name="图片 16" descr="补充图4_画板 1_画板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补充图4_画板 1_画板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CF74" w14:textId="77777777" w:rsidR="0015459D" w:rsidRDefault="00000000">
      <w:pPr>
        <w:jc w:val="lef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t>Fig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>4. Expression of DEDGs in endothelial cell subtypes and their impact on prognosis of GBM patients.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A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Expression of 34 DEDGs in three endothelial cell subtypes. Red boxes represent</w:t>
      </w:r>
      <w:r>
        <w:rPr>
          <w:rFonts w:ascii="Times New Roman" w:hAnsi="Times New Roman" w:cs="Times New Roman" w:hint="eastAsia"/>
          <w:sz w:val="18"/>
          <w:szCs w:val="18"/>
        </w:rPr>
        <w:t>ed</w:t>
      </w:r>
      <w:r>
        <w:rPr>
          <w:rFonts w:ascii="Times New Roman" w:hAnsi="Times New Roman" w:cs="Times New Roman"/>
          <w:sz w:val="18"/>
          <w:szCs w:val="18"/>
        </w:rPr>
        <w:t xml:space="preserve"> DEDGs with high expression and poor prognosis, green boxes represent</w:t>
      </w:r>
      <w:r>
        <w:rPr>
          <w:rFonts w:ascii="Times New Roman" w:hAnsi="Times New Roman" w:cs="Times New Roman" w:hint="eastAsia"/>
          <w:sz w:val="18"/>
          <w:szCs w:val="18"/>
        </w:rPr>
        <w:t>ed</w:t>
      </w:r>
      <w:r>
        <w:rPr>
          <w:rFonts w:ascii="Times New Roman" w:hAnsi="Times New Roman" w:cs="Times New Roman"/>
          <w:sz w:val="18"/>
          <w:szCs w:val="18"/>
        </w:rPr>
        <w:t xml:space="preserve"> DEDGs with high expression and good prognosis, and red font represent</w:t>
      </w:r>
      <w:r>
        <w:rPr>
          <w:rFonts w:ascii="Times New Roman" w:hAnsi="Times New Roman" w:cs="Times New Roman" w:hint="eastAsia"/>
          <w:sz w:val="18"/>
          <w:szCs w:val="18"/>
        </w:rPr>
        <w:t>ed</w:t>
      </w:r>
      <w:r>
        <w:rPr>
          <w:rFonts w:ascii="Times New Roman" w:hAnsi="Times New Roman" w:cs="Times New Roman"/>
          <w:sz w:val="18"/>
          <w:szCs w:val="18"/>
        </w:rPr>
        <w:t xml:space="preserve"> genes highly expressed in tip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>s.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B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Forest plot obtained by univariate COX regression analysis of 34 DEDGs.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C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-</w:t>
      </w:r>
      <w:r>
        <w:rPr>
          <w:rFonts w:ascii="Times New Roman" w:hAnsi="Times New Roman" w:cs="Times New Roman"/>
          <w:b/>
          <w:bCs/>
          <w:sz w:val="18"/>
          <w:szCs w:val="18"/>
        </w:rPr>
        <w:t>I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KM survival curves of 7 key genes: AEBP1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(C)</w:t>
      </w:r>
      <w:r>
        <w:rPr>
          <w:rFonts w:ascii="Times New Roman" w:hAnsi="Times New Roman" w:cs="Times New Roman"/>
          <w:sz w:val="18"/>
          <w:szCs w:val="18"/>
        </w:rPr>
        <w:t>, CD81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(D)</w:t>
      </w:r>
      <w:r>
        <w:rPr>
          <w:rFonts w:ascii="Times New Roman" w:hAnsi="Times New Roman" w:cs="Times New Roman"/>
          <w:sz w:val="18"/>
          <w:szCs w:val="18"/>
        </w:rPr>
        <w:t xml:space="preserve">, HPCAL1 </w:t>
      </w:r>
      <w:r>
        <w:rPr>
          <w:rFonts w:ascii="Times New Roman" w:hAnsi="Times New Roman" w:cs="Times New Roman"/>
          <w:b/>
          <w:bCs/>
          <w:sz w:val="18"/>
          <w:szCs w:val="18"/>
        </w:rPr>
        <w:t>(E)</w:t>
      </w:r>
      <w:r>
        <w:rPr>
          <w:rFonts w:ascii="Times New Roman" w:hAnsi="Times New Roman" w:cs="Times New Roman"/>
          <w:sz w:val="18"/>
          <w:szCs w:val="18"/>
        </w:rPr>
        <w:t xml:space="preserve">, NSUN5 </w:t>
      </w:r>
      <w:r>
        <w:rPr>
          <w:rFonts w:ascii="Times New Roman" w:hAnsi="Times New Roman" w:cs="Times New Roman"/>
          <w:b/>
          <w:bCs/>
          <w:sz w:val="18"/>
          <w:szCs w:val="18"/>
        </w:rPr>
        <w:t>(F)</w:t>
      </w:r>
      <w:r>
        <w:rPr>
          <w:rFonts w:ascii="Times New Roman" w:hAnsi="Times New Roman" w:cs="Times New Roman"/>
          <w:sz w:val="18"/>
          <w:szCs w:val="18"/>
        </w:rPr>
        <w:t>, PTPRN2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(G)</w:t>
      </w:r>
      <w:r>
        <w:rPr>
          <w:rFonts w:ascii="Times New Roman" w:hAnsi="Times New Roman" w:cs="Times New Roman"/>
          <w:sz w:val="18"/>
          <w:szCs w:val="18"/>
        </w:rPr>
        <w:t>, SMAD9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(H)</w:t>
      </w:r>
      <w:r>
        <w:rPr>
          <w:rFonts w:ascii="Times New Roman" w:hAnsi="Times New Roman" w:cs="Times New Roman"/>
          <w:sz w:val="18"/>
          <w:szCs w:val="18"/>
        </w:rPr>
        <w:t xml:space="preserve">, and ZIC3 </w:t>
      </w:r>
      <w:r>
        <w:rPr>
          <w:rFonts w:ascii="Times New Roman" w:hAnsi="Times New Roman" w:cs="Times New Roman"/>
          <w:b/>
          <w:bCs/>
          <w:sz w:val="18"/>
          <w:szCs w:val="18"/>
        </w:rPr>
        <w:t>(I)</w:t>
      </w:r>
      <w:r>
        <w:rPr>
          <w:rFonts w:ascii="Times New Roman" w:hAnsi="Times New Roman" w:cs="Times New Roman"/>
          <w:sz w:val="18"/>
          <w:szCs w:val="18"/>
        </w:rPr>
        <w:t>.</w:t>
      </w:r>
      <w:r>
        <w:rPr>
          <w:sz w:val="18"/>
          <w:szCs w:val="18"/>
        </w:rPr>
        <w:t xml:space="preserve"> </w:t>
      </w:r>
    </w:p>
    <w:p w14:paraId="52E96A7C" w14:textId="77777777" w:rsidR="0015459D" w:rsidRDefault="0015459D">
      <w:pPr>
        <w:jc w:val="left"/>
      </w:pPr>
    </w:p>
    <w:p w14:paraId="5FA6EC9D" w14:textId="77777777" w:rsidR="0015459D" w:rsidRDefault="00000000">
      <w:pPr>
        <w:jc w:val="left"/>
      </w:pPr>
      <w:r>
        <w:rPr>
          <w:rFonts w:hint="eastAsia"/>
          <w:noProof/>
        </w:rPr>
        <w:drawing>
          <wp:inline distT="0" distB="0" distL="114300" distR="114300" wp14:anchorId="09EEF214" wp14:editId="2EC9A429">
            <wp:extent cx="5271135" cy="7452360"/>
            <wp:effectExtent l="0" t="0" r="7620" b="6985"/>
            <wp:docPr id="17" name="图片 17" descr="补充图5_画板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补充图5_画板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4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2D83" w14:textId="77777777" w:rsidR="0015459D" w:rsidRDefault="00000000">
      <w:pPr>
        <w:jc w:val="left"/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b/>
          <w:bCs/>
          <w:sz w:val="18"/>
          <w:szCs w:val="18"/>
        </w:rPr>
        <w:t>Fig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.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5. The relationship between transitional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ECs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and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stalk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ECs</w:t>
      </w:r>
      <w:r>
        <w:rPr>
          <w:rFonts w:ascii="Times New Roman" w:hAnsi="Times New Roman" w:cs="Times New Roman"/>
          <w:b/>
          <w:bCs/>
          <w:sz w:val="18"/>
          <w:szCs w:val="18"/>
        </w:rPr>
        <w:t xml:space="preserve"> and the prognosis of GBM patients.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A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 xml:space="preserve">) </w:t>
      </w:r>
      <w:r>
        <w:rPr>
          <w:rFonts w:ascii="Times New Roman" w:hAnsi="Times New Roman" w:cs="Times New Roman"/>
          <w:sz w:val="18"/>
          <w:szCs w:val="18"/>
        </w:rPr>
        <w:t>The bar chart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number of transitional </w:t>
      </w:r>
      <w:r>
        <w:rPr>
          <w:rFonts w:ascii="Times New Roman" w:hAnsi="Times New Roman" w:cs="Times New Roman" w:hint="eastAsia"/>
          <w:sz w:val="18"/>
          <w:szCs w:val="18"/>
        </w:rPr>
        <w:t>ECs</w:t>
      </w:r>
      <w:r>
        <w:rPr>
          <w:rFonts w:ascii="Times New Roman" w:hAnsi="Times New Roman" w:cs="Times New Roman"/>
          <w:sz w:val="18"/>
          <w:szCs w:val="18"/>
        </w:rPr>
        <w:t xml:space="preserve"> in the high-risk and low-risk groups of the TCGA-GBM cohort, and the KM survival curve shows the survival difference between the high and low transitional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 xml:space="preserve"> ratio groups in the TCGA-GBM cohort.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B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The bar chart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number of </w:t>
      </w:r>
      <w:r>
        <w:rPr>
          <w:rFonts w:ascii="Times New Roman" w:hAnsi="Times New Roman" w:cs="Times New Roman" w:hint="eastAsia"/>
          <w:sz w:val="18"/>
          <w:szCs w:val="18"/>
        </w:rPr>
        <w:t>stalk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ECs</w:t>
      </w:r>
      <w:r>
        <w:rPr>
          <w:rFonts w:ascii="Times New Roman" w:hAnsi="Times New Roman" w:cs="Times New Roman"/>
          <w:sz w:val="18"/>
          <w:szCs w:val="18"/>
        </w:rPr>
        <w:t xml:space="preserve"> in the high-risk and low-risk groups of the TCGA-GBM cohort, and the KM survival curve shows the survival difference between the high and </w:t>
      </w:r>
      <w:r>
        <w:rPr>
          <w:rFonts w:ascii="Times New Roman" w:hAnsi="Times New Roman" w:cs="Times New Roman"/>
          <w:sz w:val="18"/>
          <w:szCs w:val="18"/>
        </w:rPr>
        <w:lastRenderedPageBreak/>
        <w:t xml:space="preserve">low </w:t>
      </w:r>
      <w:r>
        <w:rPr>
          <w:rFonts w:ascii="Times New Roman" w:hAnsi="Times New Roman" w:cs="Times New Roman" w:hint="eastAsia"/>
          <w:sz w:val="18"/>
          <w:szCs w:val="18"/>
        </w:rPr>
        <w:t>stalk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 xml:space="preserve"> ratio groups in the TCGA-GBM cohort. 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C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The bar chart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number of transitional </w:t>
      </w:r>
      <w:r>
        <w:rPr>
          <w:rFonts w:ascii="Times New Roman" w:hAnsi="Times New Roman" w:cs="Times New Roman" w:hint="eastAsia"/>
          <w:sz w:val="18"/>
          <w:szCs w:val="18"/>
        </w:rPr>
        <w:t>ECs</w:t>
      </w:r>
      <w:r>
        <w:rPr>
          <w:rFonts w:ascii="Times New Roman" w:hAnsi="Times New Roman" w:cs="Times New Roman"/>
          <w:sz w:val="18"/>
          <w:szCs w:val="18"/>
        </w:rPr>
        <w:t xml:space="preserve"> in the high-risk and low-risk groups of the CGGA-GBM cohort, and the KM survival curve shows the survival difference between the high and low transitional </w:t>
      </w:r>
      <w:r>
        <w:rPr>
          <w:rFonts w:ascii="Times New Roman" w:hAnsi="Times New Roman" w:cs="Times New Roman" w:hint="eastAsia"/>
          <w:sz w:val="18"/>
          <w:szCs w:val="18"/>
        </w:rPr>
        <w:t xml:space="preserve">EC </w:t>
      </w:r>
      <w:r>
        <w:rPr>
          <w:rFonts w:ascii="Times New Roman" w:hAnsi="Times New Roman" w:cs="Times New Roman"/>
          <w:sz w:val="18"/>
          <w:szCs w:val="18"/>
        </w:rPr>
        <w:t xml:space="preserve">ratio groups in the CGGA-GBM cohort. </w:t>
      </w:r>
      <w:r>
        <w:rPr>
          <w:rFonts w:ascii="Times New Roman" w:hAnsi="Times New Roman" w:cs="Times New Roman" w:hint="eastAsia"/>
          <w:sz w:val="18"/>
          <w:szCs w:val="18"/>
        </w:rPr>
        <w:t>(</w:t>
      </w:r>
      <w:r>
        <w:rPr>
          <w:rFonts w:ascii="Times New Roman" w:hAnsi="Times New Roman" w:cs="Times New Roman"/>
          <w:b/>
          <w:bCs/>
          <w:sz w:val="18"/>
          <w:szCs w:val="18"/>
        </w:rPr>
        <w:t>D</w:t>
      </w:r>
      <w:r>
        <w:rPr>
          <w:rFonts w:ascii="Times New Roman" w:hAnsi="Times New Roman" w:cs="Times New Roman" w:hint="eastAsia"/>
          <w:b/>
          <w:bCs/>
          <w:sz w:val="18"/>
          <w:szCs w:val="18"/>
        </w:rPr>
        <w:t>)</w:t>
      </w:r>
      <w:r>
        <w:rPr>
          <w:rFonts w:ascii="Times New Roman" w:hAnsi="Times New Roman" w:cs="Times New Roman"/>
          <w:sz w:val="18"/>
          <w:szCs w:val="18"/>
        </w:rPr>
        <w:t xml:space="preserve"> The bar chart show</w:t>
      </w:r>
      <w:r>
        <w:rPr>
          <w:rFonts w:ascii="Times New Roman" w:hAnsi="Times New Roman" w:cs="Times New Roman" w:hint="eastAsia"/>
          <w:sz w:val="18"/>
          <w:szCs w:val="18"/>
        </w:rPr>
        <w:t>n</w:t>
      </w:r>
      <w:r>
        <w:rPr>
          <w:rFonts w:ascii="Times New Roman" w:hAnsi="Times New Roman" w:cs="Times New Roman"/>
          <w:sz w:val="18"/>
          <w:szCs w:val="18"/>
        </w:rPr>
        <w:t xml:space="preserve"> the number of </w:t>
      </w:r>
      <w:r>
        <w:rPr>
          <w:rFonts w:ascii="Times New Roman" w:hAnsi="Times New Roman" w:cs="Times New Roman" w:hint="eastAsia"/>
          <w:sz w:val="18"/>
          <w:szCs w:val="18"/>
        </w:rPr>
        <w:t>stalk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ECs</w:t>
      </w:r>
      <w:r>
        <w:rPr>
          <w:rFonts w:ascii="Times New Roman" w:hAnsi="Times New Roman" w:cs="Times New Roman"/>
          <w:sz w:val="18"/>
          <w:szCs w:val="18"/>
        </w:rPr>
        <w:t xml:space="preserve"> in the high-risk and low-risk groups of the CGGA-GBM cohort, and the KM survival curve shows the survival difference between the high and low </w:t>
      </w:r>
      <w:r>
        <w:rPr>
          <w:rFonts w:ascii="Times New Roman" w:hAnsi="Times New Roman" w:cs="Times New Roman" w:hint="eastAsia"/>
          <w:sz w:val="18"/>
          <w:szCs w:val="18"/>
        </w:rPr>
        <w:t>stalk</w:t>
      </w:r>
      <w:r>
        <w:rPr>
          <w:rFonts w:ascii="Times New Roman" w:hAnsi="Times New Roman" w:cs="Times New Roman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sz w:val="18"/>
          <w:szCs w:val="18"/>
        </w:rPr>
        <w:t>EC</w:t>
      </w:r>
      <w:r>
        <w:rPr>
          <w:rFonts w:ascii="Times New Roman" w:hAnsi="Times New Roman" w:cs="Times New Roman"/>
          <w:sz w:val="18"/>
          <w:szCs w:val="18"/>
        </w:rPr>
        <w:t xml:space="preserve"> ratio groups in the CGGA-GBM cohort.</w:t>
      </w:r>
      <w:r>
        <w:rPr>
          <w:sz w:val="18"/>
          <w:szCs w:val="18"/>
        </w:rPr>
        <w:t xml:space="preserve"> </w:t>
      </w:r>
      <w:r>
        <w:rPr>
          <w:rFonts w:ascii="Times New Roman" w:hAnsi="Times New Roman" w:cs="Times New Roman"/>
          <w:sz w:val="18"/>
          <w:szCs w:val="18"/>
        </w:rPr>
        <w:t xml:space="preserve">*p &lt; 0.05; **p &lt; 0.01; </w:t>
      </w:r>
      <w:r>
        <w:rPr>
          <w:rFonts w:ascii="Times New Roman" w:hAnsi="Times New Roman" w:cs="Times New Roman" w:hint="eastAsia"/>
          <w:sz w:val="18"/>
          <w:szCs w:val="18"/>
        </w:rPr>
        <w:t xml:space="preserve">***p&lt;0.001; </w:t>
      </w:r>
      <w:r>
        <w:rPr>
          <w:rFonts w:ascii="Times New Roman" w:hAnsi="Times New Roman" w:cs="Times New Roman"/>
          <w:sz w:val="18"/>
          <w:szCs w:val="18"/>
        </w:rPr>
        <w:t>****p &lt; 0.0001</w:t>
      </w:r>
    </w:p>
    <w:p w14:paraId="4A6EB256" w14:textId="77777777" w:rsidR="0015459D" w:rsidRDefault="0015459D"/>
    <w:sectPr w:rsidR="001545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007BA7" w14:textId="77777777" w:rsidR="00925D7B" w:rsidRDefault="00925D7B" w:rsidP="003D6778">
      <w:r>
        <w:separator/>
      </w:r>
    </w:p>
  </w:endnote>
  <w:endnote w:type="continuationSeparator" w:id="0">
    <w:p w14:paraId="6520DF91" w14:textId="77777777" w:rsidR="00925D7B" w:rsidRDefault="00925D7B" w:rsidP="003D6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662030" w14:textId="77777777" w:rsidR="00925D7B" w:rsidRDefault="00925D7B" w:rsidP="003D6778">
      <w:r>
        <w:separator/>
      </w:r>
    </w:p>
  </w:footnote>
  <w:footnote w:type="continuationSeparator" w:id="0">
    <w:p w14:paraId="30981C1D" w14:textId="77777777" w:rsidR="00925D7B" w:rsidRDefault="00925D7B" w:rsidP="003D67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71C7B48"/>
    <w:rsid w:val="0015459D"/>
    <w:rsid w:val="001F3CCD"/>
    <w:rsid w:val="00300A5F"/>
    <w:rsid w:val="003D6778"/>
    <w:rsid w:val="005A0349"/>
    <w:rsid w:val="00925D7B"/>
    <w:rsid w:val="00987E61"/>
    <w:rsid w:val="00C87E97"/>
    <w:rsid w:val="00E8440C"/>
    <w:rsid w:val="671C7B48"/>
    <w:rsid w:val="686579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A371874"/>
  <w15:docId w15:val="{142515A6-3B4F-42F7-908E-9ADF1C577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7">
    <w:name w:val="Hyperlink"/>
    <w:basedOn w:val="a0"/>
    <w:qFormat/>
    <w:rPr>
      <w:color w:val="0000FF"/>
      <w:u w:val="single"/>
    </w:rPr>
  </w:style>
  <w:style w:type="paragraph" w:customStyle="1" w:styleId="A8">
    <w:name w:val="正文 A"/>
    <w:qFormat/>
    <w:pPr>
      <w:widowControl w:val="0"/>
      <w:jc w:val="both"/>
    </w:pPr>
    <w:rPr>
      <w:rFonts w:ascii="Calibri" w:eastAsia="Times New Roman" w:hAnsi="Calibri" w:cs="Calibri"/>
      <w:color w:val="000000"/>
      <w:kern w:val="2"/>
      <w:sz w:val="21"/>
      <w:szCs w:val="21"/>
      <w:u w:color="000000"/>
    </w:r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taobangbao@xinhuamed.com.cn" TargetMode="External"/><Relationship Id="rId11" Type="http://schemas.openxmlformats.org/officeDocument/2006/relationships/image" Target="media/image5.tiff"/><Relationship Id="rId5" Type="http://schemas.openxmlformats.org/officeDocument/2006/relationships/endnotes" Target="endnotes.xml"/><Relationship Id="rId10" Type="http://schemas.openxmlformats.org/officeDocument/2006/relationships/image" Target="media/image4.tiff"/><Relationship Id="rId4" Type="http://schemas.openxmlformats.org/officeDocument/2006/relationships/footnotes" Target="footnote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590</Words>
  <Characters>3369</Characters>
  <Application>Microsoft Office Word</Application>
  <DocSecurity>0</DocSecurity>
  <Lines>28</Lines>
  <Paragraphs>7</Paragraphs>
  <ScaleCrop>false</ScaleCrop>
  <Company/>
  <LinksUpToDate>false</LinksUpToDate>
  <CharactersWithSpaces>3952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星星</dc:creator>
  <cp:lastModifiedBy>hengxing su</cp:lastModifiedBy>
  <cp:revision>4</cp:revision>
  <dcterms:created xsi:type="dcterms:W3CDTF">2025-06-13T01:08:00Z</dcterms:created>
  <dcterms:modified xsi:type="dcterms:W3CDTF">2025-10-30T07:14:00Z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4A76DA9B1E8149C28D5BFCB4120824BA_11</vt:lpwstr>
  </property>
  <property fmtid="{D5CDD505-2E9C-101B-9397-08002B2CF9AE}" pid="4" name="KSOTemplateDocerSaveRecord">
    <vt:lpwstr>eyJoZGlkIjoiNmQ1ZDEzM2MzMTZiNGIxYWMyMGM2ZWIwZjhjNjMyNWUiLCJ1c2VySWQiOiI0MTI0MjgxNTUifQ==</vt:lpwstr>
  </property>
</Properties>
</file>